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E" w:rsidRDefault="00A7742E" w:rsidP="00A7742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08">
        <w:rPr>
          <w:rFonts w:ascii="Times New Roman" w:hAnsi="Times New Roman" w:cs="Times New Roman"/>
          <w:b/>
          <w:sz w:val="28"/>
          <w:szCs w:val="28"/>
        </w:rPr>
        <w:t xml:space="preserve">АНОТАЦІЯ НАВЧАЛЬНОЇ ДИСЦИЛІНИ </w:t>
      </w:r>
    </w:p>
    <w:p w:rsidR="006D499B" w:rsidRDefault="00853AA2" w:rsidP="00A7742E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A3A8D">
        <w:rPr>
          <w:rFonts w:ascii="Times New Roman" w:eastAsia="Times New Roman" w:hAnsi="Times New Roman" w:cs="Times New Roman"/>
          <w:b/>
          <w:sz w:val="28"/>
          <w:lang w:eastAsia="ru-RU"/>
        </w:rPr>
        <w:t>Сучасна світова історіографія</w:t>
      </w:r>
      <w:r w:rsidR="000115E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7176"/>
      </w:tblGrid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6D499B" w:rsidP="006D49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Треті</w:t>
            </w:r>
            <w:r w:rsidR="00444667" w:rsidRPr="0044466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рівень </w:t>
            </w:r>
            <w:r w:rsidR="00444667" w:rsidRPr="004446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доктор філософії</w:t>
            </w:r>
            <w:r w:rsidR="00444667" w:rsidRPr="00444667">
              <w:rPr>
                <w:sz w:val="24"/>
                <w:szCs w:val="24"/>
              </w:rPr>
              <w:t>)</w:t>
            </w:r>
            <w:r w:rsidR="000115EC">
              <w:rPr>
                <w:b/>
              </w:rPr>
              <w:t xml:space="preserve"> 0</w:t>
            </w:r>
            <w:r>
              <w:rPr>
                <w:b/>
              </w:rPr>
              <w:t>32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Мета й завдання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67" w:rsidRPr="000B38D0" w:rsidRDefault="00444667" w:rsidP="006D499B">
            <w:pPr>
              <w:pStyle w:val="a5"/>
              <w:jc w:val="both"/>
              <w:rPr>
                <w:sz w:val="24"/>
                <w:szCs w:val="24"/>
              </w:rPr>
            </w:pPr>
            <w:r w:rsidRPr="000B38D0">
              <w:rPr>
                <w:b/>
                <w:sz w:val="24"/>
                <w:szCs w:val="24"/>
              </w:rPr>
              <w:t>Метою курсу</w:t>
            </w:r>
            <w:r w:rsidRPr="000B38D0">
              <w:rPr>
                <w:sz w:val="24"/>
                <w:szCs w:val="24"/>
              </w:rPr>
              <w:t xml:space="preserve"> «Сучасна світова історіографія» є забезпечення </w:t>
            </w:r>
            <w:r w:rsidR="006D499B">
              <w:rPr>
                <w:sz w:val="24"/>
                <w:szCs w:val="24"/>
              </w:rPr>
              <w:t>здобувачів</w:t>
            </w:r>
            <w:r w:rsidRPr="000B38D0">
              <w:rPr>
                <w:sz w:val="24"/>
                <w:szCs w:val="24"/>
              </w:rPr>
              <w:t xml:space="preserve"> знаннями </w:t>
            </w:r>
            <w:r w:rsidR="006D499B">
              <w:rPr>
                <w:sz w:val="24"/>
                <w:szCs w:val="24"/>
              </w:rPr>
              <w:t xml:space="preserve">розвитку та особливостей </w:t>
            </w:r>
            <w:r w:rsidRPr="000B38D0">
              <w:rPr>
                <w:sz w:val="24"/>
                <w:szCs w:val="24"/>
              </w:rPr>
              <w:t xml:space="preserve">історичної науки в </w:t>
            </w:r>
            <w:r w:rsidR="006D499B">
              <w:rPr>
                <w:sz w:val="24"/>
                <w:szCs w:val="24"/>
              </w:rPr>
              <w:t xml:space="preserve">різних </w:t>
            </w:r>
            <w:r w:rsidRPr="000B38D0">
              <w:rPr>
                <w:sz w:val="24"/>
                <w:szCs w:val="24"/>
              </w:rPr>
              <w:t xml:space="preserve">зарубіжних країнах, сформування у них уявлення про процеси нагромадження та інтерпретації історичних знань у світі, вироблення у них стійких навичок опрацювання </w:t>
            </w:r>
            <w:r w:rsidR="006D499B">
              <w:rPr>
                <w:sz w:val="24"/>
                <w:szCs w:val="24"/>
              </w:rPr>
              <w:t xml:space="preserve">та аналізу </w:t>
            </w:r>
            <w:r w:rsidRPr="000B38D0">
              <w:rPr>
                <w:sz w:val="24"/>
                <w:szCs w:val="24"/>
              </w:rPr>
              <w:t xml:space="preserve">науково-історичної літератури, умінь робити </w:t>
            </w:r>
            <w:r w:rsidR="006D499B">
              <w:rPr>
                <w:sz w:val="24"/>
                <w:szCs w:val="24"/>
              </w:rPr>
              <w:t>об’єктивні оцінки</w:t>
            </w:r>
            <w:r w:rsidRPr="000B38D0">
              <w:rPr>
                <w:sz w:val="24"/>
                <w:szCs w:val="24"/>
              </w:rPr>
              <w:t xml:space="preserve"> теоретичного рівня наукових праць з історії </w:t>
            </w:r>
            <w:r w:rsidR="006D499B">
              <w:rPr>
                <w:sz w:val="24"/>
                <w:szCs w:val="24"/>
              </w:rPr>
              <w:t xml:space="preserve">та визначати основні </w:t>
            </w:r>
            <w:r w:rsidR="006466F7">
              <w:rPr>
                <w:sz w:val="24"/>
                <w:szCs w:val="24"/>
              </w:rPr>
              <w:t xml:space="preserve">напрями і </w:t>
            </w:r>
            <w:r w:rsidR="006D499B">
              <w:rPr>
                <w:sz w:val="24"/>
                <w:szCs w:val="24"/>
              </w:rPr>
              <w:t>тенденції світової історіографії</w:t>
            </w:r>
            <w:bookmarkStart w:id="0" w:name="_GoBack"/>
            <w:bookmarkEnd w:id="0"/>
          </w:p>
          <w:p w:rsidR="00444667" w:rsidRPr="000B38D0" w:rsidRDefault="00444667" w:rsidP="000B38D0">
            <w:pPr>
              <w:pStyle w:val="a5"/>
              <w:rPr>
                <w:sz w:val="24"/>
                <w:szCs w:val="24"/>
              </w:rPr>
            </w:pPr>
            <w:r w:rsidRPr="000B38D0">
              <w:rPr>
                <w:sz w:val="24"/>
                <w:szCs w:val="24"/>
              </w:rPr>
              <w:t xml:space="preserve">У </w:t>
            </w:r>
            <w:r w:rsidRPr="000B38D0">
              <w:rPr>
                <w:b/>
                <w:sz w:val="24"/>
                <w:szCs w:val="24"/>
              </w:rPr>
              <w:t xml:space="preserve">результаті </w:t>
            </w:r>
            <w:r w:rsidRPr="000B38D0">
              <w:rPr>
                <w:sz w:val="24"/>
                <w:szCs w:val="24"/>
              </w:rPr>
              <w:t xml:space="preserve">вивчення дисципліни </w:t>
            </w:r>
            <w:r w:rsidR="00B16B7D">
              <w:rPr>
                <w:sz w:val="24"/>
                <w:szCs w:val="24"/>
              </w:rPr>
              <w:t>студе</w:t>
            </w:r>
            <w:r w:rsidR="002021D0">
              <w:rPr>
                <w:sz w:val="24"/>
                <w:szCs w:val="24"/>
              </w:rPr>
              <w:t>нти</w:t>
            </w:r>
            <w:r w:rsidRPr="000B38D0">
              <w:rPr>
                <w:sz w:val="24"/>
                <w:szCs w:val="24"/>
              </w:rPr>
              <w:t xml:space="preserve"> повинні: </w:t>
            </w:r>
          </w:p>
          <w:p w:rsidR="00444667" w:rsidRPr="000B38D0" w:rsidRDefault="00444667" w:rsidP="000B38D0">
            <w:pPr>
              <w:pStyle w:val="a5"/>
              <w:rPr>
                <w:sz w:val="24"/>
                <w:szCs w:val="24"/>
              </w:rPr>
            </w:pPr>
            <w:r w:rsidRPr="000B38D0">
              <w:rPr>
                <w:sz w:val="24"/>
                <w:szCs w:val="24"/>
              </w:rPr>
              <w:t xml:space="preserve">- </w:t>
            </w:r>
            <w:r w:rsidRPr="000B38D0">
              <w:rPr>
                <w:b/>
                <w:sz w:val="24"/>
                <w:szCs w:val="24"/>
              </w:rPr>
              <w:t>знати</w:t>
            </w:r>
            <w:r w:rsidRPr="000B38D0">
              <w:rPr>
                <w:sz w:val="24"/>
                <w:szCs w:val="24"/>
              </w:rPr>
              <w:t xml:space="preserve"> особливості розвитку</w:t>
            </w:r>
            <w:r w:rsidR="006466F7">
              <w:rPr>
                <w:sz w:val="24"/>
                <w:szCs w:val="24"/>
              </w:rPr>
              <w:t>,</w:t>
            </w:r>
            <w:r w:rsidRPr="000B38D0">
              <w:rPr>
                <w:sz w:val="24"/>
                <w:szCs w:val="24"/>
              </w:rPr>
              <w:t xml:space="preserve"> </w:t>
            </w:r>
            <w:r w:rsidR="006466F7">
              <w:rPr>
                <w:sz w:val="24"/>
                <w:szCs w:val="24"/>
              </w:rPr>
              <w:t>концептуальні</w:t>
            </w:r>
            <w:r w:rsidRPr="000B38D0">
              <w:rPr>
                <w:sz w:val="24"/>
                <w:szCs w:val="24"/>
              </w:rPr>
              <w:t xml:space="preserve"> здобутки </w:t>
            </w:r>
            <w:r w:rsidR="006466F7" w:rsidRPr="000B38D0">
              <w:rPr>
                <w:sz w:val="24"/>
                <w:szCs w:val="24"/>
              </w:rPr>
              <w:t xml:space="preserve">та </w:t>
            </w:r>
            <w:r w:rsidR="006466F7">
              <w:rPr>
                <w:sz w:val="24"/>
                <w:szCs w:val="24"/>
              </w:rPr>
              <w:t xml:space="preserve">визначальні тенденції </w:t>
            </w:r>
            <w:r w:rsidRPr="000B38D0">
              <w:rPr>
                <w:sz w:val="24"/>
                <w:szCs w:val="24"/>
              </w:rPr>
              <w:t xml:space="preserve">світової історичної науки; </w:t>
            </w:r>
          </w:p>
          <w:p w:rsidR="00444667" w:rsidRPr="000B38D0" w:rsidRDefault="00444667" w:rsidP="006466F7">
            <w:pPr>
              <w:pStyle w:val="a5"/>
              <w:rPr>
                <w:sz w:val="24"/>
                <w:szCs w:val="24"/>
              </w:rPr>
            </w:pPr>
            <w:r w:rsidRPr="000B38D0">
              <w:rPr>
                <w:sz w:val="24"/>
                <w:szCs w:val="24"/>
              </w:rPr>
              <w:t xml:space="preserve">- </w:t>
            </w:r>
            <w:r w:rsidRPr="000B38D0">
              <w:rPr>
                <w:b/>
                <w:sz w:val="24"/>
                <w:szCs w:val="24"/>
              </w:rPr>
              <w:t>вміти</w:t>
            </w:r>
            <w:r w:rsidRPr="000B38D0">
              <w:rPr>
                <w:sz w:val="24"/>
                <w:szCs w:val="24"/>
              </w:rPr>
              <w:t xml:space="preserve"> опрацьовувати науково-історичну літературу, </w:t>
            </w:r>
            <w:r w:rsidR="006466F7">
              <w:rPr>
                <w:sz w:val="24"/>
                <w:szCs w:val="24"/>
              </w:rPr>
              <w:t xml:space="preserve">визначати внесок окремих авторів та історичних шкіл у прирощення історичних знань, </w:t>
            </w:r>
            <w:r w:rsidRPr="000B38D0">
              <w:rPr>
                <w:sz w:val="24"/>
                <w:szCs w:val="24"/>
              </w:rPr>
              <w:t xml:space="preserve">робити </w:t>
            </w:r>
            <w:r w:rsidR="006466F7">
              <w:rPr>
                <w:sz w:val="24"/>
                <w:szCs w:val="24"/>
              </w:rPr>
              <w:t>аргументовані висновки</w:t>
            </w:r>
            <w:r w:rsidRPr="000B38D0">
              <w:rPr>
                <w:sz w:val="24"/>
                <w:szCs w:val="24"/>
              </w:rPr>
              <w:t xml:space="preserve"> щодо теоретичного і метод</w:t>
            </w:r>
            <w:r w:rsidR="007C1756" w:rsidRPr="000B38D0">
              <w:rPr>
                <w:sz w:val="24"/>
                <w:szCs w:val="24"/>
              </w:rPr>
              <w:t>ологі</w:t>
            </w:r>
            <w:r w:rsidRPr="000B38D0">
              <w:rPr>
                <w:sz w:val="24"/>
                <w:szCs w:val="24"/>
              </w:rPr>
              <w:t xml:space="preserve">чного рівня наукових праць з історії. 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Обсяг годин, кредитів ЄКТС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0B38D0" w:rsidRDefault="00444667" w:rsidP="000B38D0">
            <w:pPr>
              <w:pStyle w:val="a5"/>
              <w:rPr>
                <w:sz w:val="24"/>
                <w:szCs w:val="24"/>
              </w:rPr>
            </w:pPr>
            <w:r w:rsidRPr="000B38D0">
              <w:rPr>
                <w:sz w:val="24"/>
                <w:szCs w:val="24"/>
              </w:rPr>
              <w:t>1</w:t>
            </w:r>
            <w:r w:rsidR="00067CEC" w:rsidRPr="000B38D0">
              <w:rPr>
                <w:sz w:val="24"/>
                <w:szCs w:val="24"/>
              </w:rPr>
              <w:t>5</w:t>
            </w:r>
            <w:r w:rsidRPr="000B38D0">
              <w:rPr>
                <w:sz w:val="24"/>
                <w:szCs w:val="24"/>
              </w:rPr>
              <w:t>0 годин (</w:t>
            </w:r>
            <w:r w:rsidR="00067CEC" w:rsidRPr="000B38D0">
              <w:rPr>
                <w:sz w:val="24"/>
                <w:szCs w:val="24"/>
              </w:rPr>
              <w:t>5</w:t>
            </w:r>
            <w:r w:rsidRPr="000B38D0">
              <w:rPr>
                <w:sz w:val="24"/>
                <w:szCs w:val="24"/>
              </w:rPr>
              <w:t xml:space="preserve"> кредит</w:t>
            </w:r>
            <w:r w:rsidR="00067CEC" w:rsidRPr="000B38D0">
              <w:rPr>
                <w:sz w:val="24"/>
                <w:szCs w:val="24"/>
              </w:rPr>
              <w:t>ів</w:t>
            </w:r>
            <w:r w:rsidRPr="000B38D0">
              <w:rPr>
                <w:sz w:val="24"/>
                <w:szCs w:val="24"/>
              </w:rPr>
              <w:t>)</w:t>
            </w:r>
          </w:p>
          <w:p w:rsidR="00444667" w:rsidRPr="000B38D0" w:rsidRDefault="00444667" w:rsidP="006466F7">
            <w:pPr>
              <w:pStyle w:val="a5"/>
              <w:rPr>
                <w:sz w:val="24"/>
                <w:szCs w:val="24"/>
              </w:rPr>
            </w:pPr>
            <w:r w:rsidRPr="000B38D0">
              <w:rPr>
                <w:sz w:val="24"/>
                <w:szCs w:val="24"/>
              </w:rPr>
              <w:t xml:space="preserve">Кількість аудиторних годин на тиждень: </w:t>
            </w:r>
            <w:r w:rsidR="006466F7">
              <w:rPr>
                <w:sz w:val="24"/>
                <w:szCs w:val="24"/>
              </w:rPr>
              <w:t>2</w:t>
            </w:r>
            <w:r w:rsidRPr="000B38D0">
              <w:rPr>
                <w:sz w:val="24"/>
                <w:szCs w:val="24"/>
              </w:rPr>
              <w:t xml:space="preserve"> (</w:t>
            </w:r>
            <w:r w:rsidR="006466F7">
              <w:rPr>
                <w:sz w:val="24"/>
                <w:szCs w:val="24"/>
              </w:rPr>
              <w:t>1</w:t>
            </w:r>
            <w:r w:rsidRPr="000B38D0">
              <w:rPr>
                <w:sz w:val="24"/>
                <w:szCs w:val="24"/>
              </w:rPr>
              <w:t xml:space="preserve"> години лекцій/ </w:t>
            </w:r>
            <w:r w:rsidR="006466F7">
              <w:rPr>
                <w:sz w:val="24"/>
                <w:szCs w:val="24"/>
              </w:rPr>
              <w:t>1</w:t>
            </w:r>
            <w:r w:rsidRPr="000B38D0">
              <w:rPr>
                <w:sz w:val="24"/>
                <w:szCs w:val="24"/>
              </w:rPr>
              <w:t xml:space="preserve"> година семінарських)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6466F7" w:rsidRDefault="00444667" w:rsidP="006466F7">
            <w:pPr>
              <w:pStyle w:val="a5"/>
              <w:rPr>
                <w:b/>
                <w:sz w:val="24"/>
                <w:szCs w:val="24"/>
              </w:rPr>
            </w:pPr>
            <w:r w:rsidRPr="006466F7">
              <w:rPr>
                <w:b/>
                <w:sz w:val="24"/>
                <w:szCs w:val="24"/>
              </w:rPr>
              <w:t>Термін викладання</w:t>
            </w:r>
          </w:p>
          <w:p w:rsidR="00444667" w:rsidRPr="00444667" w:rsidRDefault="00444667" w:rsidP="006466F7">
            <w:pPr>
              <w:pStyle w:val="a5"/>
              <w:rPr>
                <w:lang w:eastAsia="en-US"/>
              </w:rPr>
            </w:pPr>
            <w:r w:rsidRPr="006466F7">
              <w:rPr>
                <w:b/>
                <w:sz w:val="24"/>
                <w:szCs w:val="24"/>
              </w:rPr>
              <w:t>(семестр)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6466F7" w:rsidP="003724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4E3AAF">
              <w:rPr>
                <w:sz w:val="24"/>
                <w:szCs w:val="24"/>
              </w:rPr>
              <w:t>-</w:t>
            </w:r>
            <w:r w:rsidR="00444667" w:rsidRPr="00444667">
              <w:rPr>
                <w:sz w:val="24"/>
                <w:szCs w:val="24"/>
              </w:rPr>
              <w:t>й семестр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Короткий зміст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67" w:rsidRPr="00444667" w:rsidRDefault="00444667" w:rsidP="00FB431E">
            <w:pPr>
              <w:jc w:val="both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 xml:space="preserve">Матеріал у програмі розбитий на </w:t>
            </w:r>
            <w:r w:rsidR="001A1242">
              <w:rPr>
                <w:sz w:val="24"/>
                <w:szCs w:val="24"/>
              </w:rPr>
              <w:t>два змістовних</w:t>
            </w:r>
            <w:r w:rsidRPr="00444667">
              <w:rPr>
                <w:sz w:val="24"/>
                <w:szCs w:val="24"/>
              </w:rPr>
              <w:t xml:space="preserve"> </w:t>
            </w:r>
            <w:r w:rsidR="00E95C5B">
              <w:rPr>
                <w:sz w:val="24"/>
                <w:szCs w:val="24"/>
              </w:rPr>
              <w:t>блоки і два модулі за проблемно-хронологічним принципом</w:t>
            </w:r>
            <w:r w:rsidRPr="00444667">
              <w:rPr>
                <w:sz w:val="24"/>
                <w:szCs w:val="24"/>
              </w:rPr>
              <w:t xml:space="preserve">. Практичні завдання курсу зумовлюють функціональне спрямування програми. Зокрема, це стосується </w:t>
            </w:r>
            <w:r w:rsidR="00E95C5B" w:rsidRPr="001A1242">
              <w:rPr>
                <w:sz w:val="24"/>
                <w:szCs w:val="24"/>
              </w:rPr>
              <w:t xml:space="preserve">теоретичного </w:t>
            </w:r>
            <w:r w:rsidRPr="00444667">
              <w:rPr>
                <w:sz w:val="24"/>
                <w:szCs w:val="24"/>
              </w:rPr>
              <w:t>розділу</w:t>
            </w:r>
            <w:r w:rsidR="00E95C5B" w:rsidRPr="001A1242">
              <w:rPr>
                <w:sz w:val="24"/>
                <w:szCs w:val="24"/>
              </w:rPr>
              <w:t>,</w:t>
            </w:r>
            <w:r w:rsidRPr="00444667">
              <w:rPr>
                <w:sz w:val="24"/>
                <w:szCs w:val="24"/>
              </w:rPr>
              <w:t xml:space="preserve"> </w:t>
            </w:r>
            <w:r w:rsidR="006466F7">
              <w:rPr>
                <w:sz w:val="24"/>
                <w:szCs w:val="24"/>
              </w:rPr>
              <w:t>де</w:t>
            </w:r>
            <w:r w:rsidR="00E95C5B" w:rsidRPr="001A1242">
              <w:rPr>
                <w:sz w:val="24"/>
                <w:szCs w:val="24"/>
              </w:rPr>
              <w:t xml:space="preserve"> </w:t>
            </w:r>
            <w:r w:rsidR="00377C41" w:rsidRPr="001A1242">
              <w:rPr>
                <w:sz w:val="24"/>
                <w:szCs w:val="24"/>
              </w:rPr>
              <w:t xml:space="preserve">деталізуються </w:t>
            </w:r>
            <w:r w:rsidR="000607B2">
              <w:rPr>
                <w:sz w:val="24"/>
                <w:szCs w:val="24"/>
              </w:rPr>
              <w:t>методологічні засади</w:t>
            </w:r>
            <w:r w:rsidR="00377C41" w:rsidRPr="001A1242">
              <w:rPr>
                <w:sz w:val="24"/>
                <w:szCs w:val="24"/>
              </w:rPr>
              <w:t xml:space="preserve"> </w:t>
            </w:r>
            <w:r w:rsidR="00E95C5B" w:rsidRPr="001A1242">
              <w:rPr>
                <w:sz w:val="24"/>
                <w:szCs w:val="24"/>
              </w:rPr>
              <w:t>історіографічних студій</w:t>
            </w:r>
            <w:r w:rsidR="00377C41" w:rsidRPr="001A1242">
              <w:rPr>
                <w:sz w:val="24"/>
                <w:szCs w:val="24"/>
              </w:rPr>
              <w:t xml:space="preserve">, </w:t>
            </w:r>
            <w:r w:rsidR="000607B2">
              <w:rPr>
                <w:sz w:val="24"/>
                <w:szCs w:val="24"/>
              </w:rPr>
              <w:t>основні здобутки та провідні тенденції</w:t>
            </w:r>
            <w:r w:rsidR="00377C41" w:rsidRPr="001A1242">
              <w:rPr>
                <w:sz w:val="24"/>
                <w:szCs w:val="24"/>
              </w:rPr>
              <w:t xml:space="preserve"> розвитку </w:t>
            </w:r>
            <w:r w:rsidR="000607B2">
              <w:rPr>
                <w:sz w:val="24"/>
                <w:szCs w:val="24"/>
              </w:rPr>
              <w:t xml:space="preserve">світової </w:t>
            </w:r>
            <w:r w:rsidR="00377C41" w:rsidRPr="001A1242">
              <w:rPr>
                <w:sz w:val="24"/>
                <w:szCs w:val="24"/>
              </w:rPr>
              <w:t>історичної думки</w:t>
            </w:r>
            <w:r w:rsidR="000607B2">
              <w:rPr>
                <w:sz w:val="24"/>
                <w:szCs w:val="24"/>
              </w:rPr>
              <w:t xml:space="preserve"> кінця ХХ-</w:t>
            </w:r>
            <w:r w:rsidR="00E95C5B" w:rsidRPr="001A1242">
              <w:rPr>
                <w:sz w:val="24"/>
                <w:szCs w:val="24"/>
              </w:rPr>
              <w:t>ХХ</w:t>
            </w:r>
            <w:r w:rsidR="00377C41" w:rsidRPr="001A1242">
              <w:rPr>
                <w:sz w:val="24"/>
                <w:szCs w:val="24"/>
              </w:rPr>
              <w:t>І</w:t>
            </w:r>
            <w:r w:rsidR="00E95C5B" w:rsidRPr="001A1242">
              <w:rPr>
                <w:sz w:val="24"/>
                <w:szCs w:val="24"/>
              </w:rPr>
              <w:t xml:space="preserve"> ст.</w:t>
            </w:r>
            <w:r w:rsidR="00377C41" w:rsidRPr="001A1242">
              <w:rPr>
                <w:sz w:val="24"/>
                <w:szCs w:val="24"/>
              </w:rPr>
              <w:t xml:space="preserve"> Вивчаються провідні напрямки і школи в сучасній світовій історіографії, а також </w:t>
            </w:r>
            <w:proofErr w:type="spellStart"/>
            <w:r w:rsidR="00377C41" w:rsidRPr="001A1242">
              <w:rPr>
                <w:sz w:val="24"/>
                <w:szCs w:val="24"/>
              </w:rPr>
              <w:t>епістемологічна</w:t>
            </w:r>
            <w:proofErr w:type="spellEnd"/>
            <w:r w:rsidR="00377C41" w:rsidRPr="001A1242">
              <w:rPr>
                <w:sz w:val="24"/>
                <w:szCs w:val="24"/>
              </w:rPr>
              <w:t xml:space="preserve"> криза</w:t>
            </w:r>
            <w:r w:rsidR="000607B2">
              <w:rPr>
                <w:sz w:val="24"/>
                <w:szCs w:val="24"/>
              </w:rPr>
              <w:t xml:space="preserve"> постмодернізму</w:t>
            </w:r>
            <w:r w:rsidR="00377C41" w:rsidRPr="001A1242">
              <w:rPr>
                <w:sz w:val="24"/>
                <w:szCs w:val="24"/>
              </w:rPr>
              <w:t xml:space="preserve"> і пошуки нових моделей </w:t>
            </w:r>
            <w:proofErr w:type="spellStart"/>
            <w:r w:rsidR="00377C41" w:rsidRPr="001A1242">
              <w:rPr>
                <w:sz w:val="24"/>
                <w:szCs w:val="24"/>
              </w:rPr>
              <w:t>історіописання</w:t>
            </w:r>
            <w:proofErr w:type="spellEnd"/>
            <w:r w:rsidR="001A1242">
              <w:rPr>
                <w:sz w:val="24"/>
                <w:szCs w:val="24"/>
              </w:rPr>
              <w:t xml:space="preserve">. </w:t>
            </w:r>
            <w:r w:rsidR="00377C41" w:rsidRPr="001A1242">
              <w:rPr>
                <w:sz w:val="24"/>
                <w:szCs w:val="24"/>
              </w:rPr>
              <w:t xml:space="preserve">До </w:t>
            </w:r>
            <w:r w:rsidR="001A1242" w:rsidRPr="001A1242">
              <w:rPr>
                <w:sz w:val="24"/>
                <w:szCs w:val="24"/>
              </w:rPr>
              <w:t>другого змістового блоку</w:t>
            </w:r>
            <w:r w:rsidR="00E95C5B" w:rsidRPr="001A1242">
              <w:rPr>
                <w:sz w:val="24"/>
                <w:szCs w:val="24"/>
              </w:rPr>
              <w:t xml:space="preserve"> </w:t>
            </w:r>
            <w:r w:rsidR="001A1242" w:rsidRPr="001A1242">
              <w:rPr>
                <w:sz w:val="24"/>
                <w:szCs w:val="24"/>
              </w:rPr>
              <w:t xml:space="preserve">вміщено матеріали за </w:t>
            </w:r>
            <w:proofErr w:type="spellStart"/>
            <w:r w:rsidR="001A1242" w:rsidRPr="001A1242">
              <w:rPr>
                <w:sz w:val="24"/>
                <w:szCs w:val="24"/>
              </w:rPr>
              <w:t>історико-географічним</w:t>
            </w:r>
            <w:proofErr w:type="spellEnd"/>
            <w:r w:rsidR="001A1242" w:rsidRPr="001A1242">
              <w:rPr>
                <w:sz w:val="24"/>
                <w:szCs w:val="24"/>
              </w:rPr>
              <w:t xml:space="preserve"> принципом, </w:t>
            </w:r>
            <w:r w:rsidR="000607B2">
              <w:rPr>
                <w:sz w:val="24"/>
                <w:szCs w:val="24"/>
              </w:rPr>
              <w:t>на основі яких  визначаються особливості розвитку світової історичної думки в різних регіонах світу та окремих країнах. Зокрема, вивчаються</w:t>
            </w:r>
            <w:r w:rsidR="001A1242" w:rsidRPr="001A1242">
              <w:rPr>
                <w:sz w:val="24"/>
                <w:szCs w:val="24"/>
              </w:rPr>
              <w:t xml:space="preserve">: </w:t>
            </w:r>
            <w:r w:rsidR="000607B2" w:rsidRPr="001A1242">
              <w:rPr>
                <w:sz w:val="24"/>
                <w:szCs w:val="24"/>
              </w:rPr>
              <w:t>історична наука</w:t>
            </w:r>
            <w:r w:rsidR="000607B2">
              <w:rPr>
                <w:sz w:val="24"/>
                <w:szCs w:val="24"/>
              </w:rPr>
              <w:t xml:space="preserve"> Західної і Центрально-Східної Євр</w:t>
            </w:r>
            <w:r w:rsidR="006B5592">
              <w:rPr>
                <w:sz w:val="24"/>
                <w:szCs w:val="24"/>
              </w:rPr>
              <w:t>о</w:t>
            </w:r>
            <w:r w:rsidR="000607B2">
              <w:rPr>
                <w:sz w:val="24"/>
                <w:szCs w:val="24"/>
              </w:rPr>
              <w:t xml:space="preserve">пи, англо-американська та латиноамериканська історіографія, історіографія арабських країн, історіографія Південно-Східної Азії, </w:t>
            </w:r>
            <w:r w:rsidR="000607B2" w:rsidRPr="001A1242">
              <w:rPr>
                <w:sz w:val="24"/>
                <w:szCs w:val="24"/>
              </w:rPr>
              <w:t xml:space="preserve"> </w:t>
            </w:r>
            <w:r w:rsidR="006B5592">
              <w:rPr>
                <w:sz w:val="24"/>
                <w:szCs w:val="24"/>
              </w:rPr>
              <w:t xml:space="preserve">розвиток </w:t>
            </w:r>
            <w:r w:rsidR="006B5592" w:rsidRPr="001A1242">
              <w:rPr>
                <w:sz w:val="24"/>
                <w:szCs w:val="24"/>
              </w:rPr>
              <w:t>історичних знань на Африканському континенті</w:t>
            </w:r>
            <w:r w:rsidR="006B5592">
              <w:rPr>
                <w:sz w:val="24"/>
                <w:szCs w:val="24"/>
              </w:rPr>
              <w:t xml:space="preserve"> та в Австралії, російська історіографія</w:t>
            </w:r>
            <w:r w:rsidR="00E95C5B" w:rsidRPr="001A1242">
              <w:rPr>
                <w:sz w:val="24"/>
                <w:szCs w:val="24"/>
              </w:rPr>
              <w:t>.</w:t>
            </w:r>
            <w:r w:rsidR="001A1242">
              <w:rPr>
                <w:sz w:val="24"/>
                <w:szCs w:val="24"/>
              </w:rPr>
              <w:t xml:space="preserve"> </w:t>
            </w:r>
            <w:r w:rsidR="00FB431E" w:rsidRPr="00444667">
              <w:rPr>
                <w:sz w:val="24"/>
                <w:szCs w:val="24"/>
              </w:rPr>
              <w:t xml:space="preserve">Таким чином, обидва розділи доповнюють один одного в рамках загального </w:t>
            </w:r>
            <w:r w:rsidR="00FB431E">
              <w:rPr>
                <w:sz w:val="24"/>
                <w:szCs w:val="24"/>
              </w:rPr>
              <w:t>курсу сучасної світової історіографії і дозволяють здобути програмні результати навчання</w:t>
            </w:r>
            <w:r w:rsidR="00FB431E" w:rsidRPr="00444667">
              <w:rPr>
                <w:sz w:val="24"/>
                <w:szCs w:val="24"/>
              </w:rPr>
              <w:t>.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 xml:space="preserve">Перелік </w:t>
            </w:r>
            <w:proofErr w:type="spellStart"/>
            <w:r w:rsidRPr="00444667">
              <w:rPr>
                <w:b/>
                <w:sz w:val="24"/>
                <w:szCs w:val="24"/>
              </w:rPr>
              <w:lastRenderedPageBreak/>
              <w:t>компетентностей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lastRenderedPageBreak/>
              <w:t>ЗК 1. Здатність до системного наукового світогляду, вміння його використання у своєї професійної діяльності.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lastRenderedPageBreak/>
              <w:t>ЗК 2. Здатність до розробка та реалізація всього послідовного процесу ґрунтовного наукового дослідження;</w:t>
            </w:r>
          </w:p>
          <w:p w:rsidR="00162070" w:rsidRDefault="00162070" w:rsidP="00162070">
            <w:pPr>
              <w:pStyle w:val="a5"/>
              <w:jc w:val="both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 xml:space="preserve">ЗК 8. Здатність працювати та орієнтуватися у сучасному міжнародному науковому просторі. </w:t>
            </w:r>
          </w:p>
          <w:p w:rsidR="00162070" w:rsidRPr="00162070" w:rsidRDefault="00162070" w:rsidP="00162070">
            <w:pPr>
              <w:pStyle w:val="a5"/>
              <w:jc w:val="both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ФК 8. Здатність правильного використання методологічних основ</w:t>
            </w:r>
          </w:p>
          <w:p w:rsidR="00162070" w:rsidRPr="00162070" w:rsidRDefault="00162070" w:rsidP="00162070">
            <w:pPr>
              <w:pStyle w:val="a5"/>
              <w:jc w:val="both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наукового дослідження в галузі історичної науки та освіти;</w:t>
            </w:r>
          </w:p>
          <w:p w:rsidR="00444667" w:rsidRPr="00BD1144" w:rsidRDefault="00162070" w:rsidP="00162070">
            <w:pPr>
              <w:pStyle w:val="a5"/>
              <w:rPr>
                <w:highlight w:val="green"/>
                <w:lang w:val="ru-RU" w:eastAsia="en-US"/>
              </w:rPr>
            </w:pPr>
            <w:r w:rsidRPr="00162070">
              <w:rPr>
                <w:sz w:val="24"/>
                <w:szCs w:val="24"/>
              </w:rPr>
              <w:t>ФК 10. Здатність до індивідуального дослідження за фахом.</w:t>
            </w:r>
          </w:p>
        </w:tc>
      </w:tr>
      <w:tr w:rsidR="00444667" w:rsidRPr="00444667" w:rsidTr="00834EBF">
        <w:trPr>
          <w:trHeight w:val="404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lastRenderedPageBreak/>
              <w:t>Результати навчання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РН 1. Знання основних філософських концепцій та історичної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методології, які можна використовувати в своїх наукових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дослідженнях;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 xml:space="preserve">РН2. Знання основ наукової розробки та виконання </w:t>
            </w:r>
            <w:proofErr w:type="spellStart"/>
            <w:r w:rsidRPr="00162070">
              <w:rPr>
                <w:sz w:val="24"/>
                <w:szCs w:val="24"/>
              </w:rPr>
              <w:t>інноваційно-</w:t>
            </w:r>
            <w:proofErr w:type="spellEnd"/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дослідницького завдання;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РН 3. Знання відповідних професійно-етичних норм та моральних</w:t>
            </w:r>
          </w:p>
          <w:p w:rsid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цінностей науковця у професійної та життєвої діяльності;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РН 9. Здатність застосовувати сучасні інформаційні технології у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своєї науковій діяльності, організації та проведенні навчальних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занять, управлінні науковими проектами тощо;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РН 10. Здатність професійно стежити за новітніми вітчизняними та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світовими науковими публікаціями, для використання їх у своєї</w:t>
            </w:r>
          </w:p>
          <w:p w:rsidR="00444667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наукової та педагогічної діяльності;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РН 14. Професійні навички до написання наукових робот, статей та</w:t>
            </w:r>
          </w:p>
          <w:p w:rsidR="00162070" w:rsidRPr="00162070" w:rsidRDefault="00162070" w:rsidP="00162070">
            <w:pPr>
              <w:pStyle w:val="a5"/>
              <w:rPr>
                <w:sz w:val="24"/>
                <w:szCs w:val="24"/>
              </w:rPr>
            </w:pPr>
            <w:r w:rsidRPr="00162070">
              <w:rPr>
                <w:sz w:val="24"/>
                <w:szCs w:val="24"/>
              </w:rPr>
              <w:t>тез, до участі у вітчизняних і міжнародних конференціях за своїм</w:t>
            </w:r>
          </w:p>
          <w:p w:rsidR="00162070" w:rsidRPr="000B38D0" w:rsidRDefault="00162070" w:rsidP="00162070">
            <w:pPr>
              <w:pStyle w:val="a5"/>
              <w:rPr>
                <w:bCs/>
                <w:highlight w:val="green"/>
                <w:lang w:eastAsia="en-US"/>
              </w:rPr>
            </w:pPr>
            <w:r w:rsidRPr="00162070">
              <w:rPr>
                <w:sz w:val="24"/>
                <w:szCs w:val="24"/>
              </w:rPr>
              <w:t>фахом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Система оцінювання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444667">
              <w:rPr>
                <w:sz w:val="24"/>
                <w:szCs w:val="24"/>
                <w:lang w:eastAsia="en-US"/>
              </w:rPr>
              <w:t xml:space="preserve">Поточний модульний 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Форми контролю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834EBF" w:rsidP="003724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834EBF">
            <w:pPr>
              <w:jc w:val="both"/>
              <w:rPr>
                <w:sz w:val="24"/>
                <w:szCs w:val="24"/>
                <w:lang w:eastAsia="en-US"/>
              </w:rPr>
            </w:pPr>
            <w:r w:rsidRPr="00444667">
              <w:rPr>
                <w:sz w:val="24"/>
                <w:szCs w:val="24"/>
              </w:rPr>
              <w:t xml:space="preserve">Кафедра </w:t>
            </w:r>
            <w:r w:rsidR="00834EBF">
              <w:rPr>
                <w:sz w:val="24"/>
                <w:szCs w:val="24"/>
              </w:rPr>
              <w:t>історії та археології</w:t>
            </w:r>
            <w:r w:rsidRPr="00444667">
              <w:rPr>
                <w:sz w:val="24"/>
                <w:szCs w:val="24"/>
              </w:rPr>
              <w:t xml:space="preserve"> </w:t>
            </w:r>
          </w:p>
        </w:tc>
      </w:tr>
    </w:tbl>
    <w:p w:rsidR="00A7742E" w:rsidRDefault="00A7742E" w:rsidP="00A77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7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742E"/>
    <w:rsid w:val="000115EC"/>
    <w:rsid w:val="000607B2"/>
    <w:rsid w:val="00067CEC"/>
    <w:rsid w:val="00076E16"/>
    <w:rsid w:val="000A4142"/>
    <w:rsid w:val="000B38D0"/>
    <w:rsid w:val="00162070"/>
    <w:rsid w:val="001A1242"/>
    <w:rsid w:val="002021D0"/>
    <w:rsid w:val="00377C41"/>
    <w:rsid w:val="00444667"/>
    <w:rsid w:val="004E3AAF"/>
    <w:rsid w:val="00536EAD"/>
    <w:rsid w:val="00643916"/>
    <w:rsid w:val="006466F7"/>
    <w:rsid w:val="006653C3"/>
    <w:rsid w:val="006B5592"/>
    <w:rsid w:val="006B5AAA"/>
    <w:rsid w:val="006C0B77"/>
    <w:rsid w:val="006D499B"/>
    <w:rsid w:val="006D7F3D"/>
    <w:rsid w:val="007C1756"/>
    <w:rsid w:val="007C6DF6"/>
    <w:rsid w:val="008242FF"/>
    <w:rsid w:val="00834EBF"/>
    <w:rsid w:val="00853AA2"/>
    <w:rsid w:val="00870751"/>
    <w:rsid w:val="00922C48"/>
    <w:rsid w:val="00A00F3C"/>
    <w:rsid w:val="00A7742E"/>
    <w:rsid w:val="00A84E5F"/>
    <w:rsid w:val="00AB7E99"/>
    <w:rsid w:val="00AE62D3"/>
    <w:rsid w:val="00B16B7D"/>
    <w:rsid w:val="00B915B7"/>
    <w:rsid w:val="00BA137D"/>
    <w:rsid w:val="00BD1144"/>
    <w:rsid w:val="00C35D53"/>
    <w:rsid w:val="00C363C3"/>
    <w:rsid w:val="00CF6BDB"/>
    <w:rsid w:val="00DF097B"/>
    <w:rsid w:val="00E51F8C"/>
    <w:rsid w:val="00E95C5B"/>
    <w:rsid w:val="00EA59DF"/>
    <w:rsid w:val="00EE4070"/>
    <w:rsid w:val="00F12C76"/>
    <w:rsid w:val="00FB0805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2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C5B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8"/>
      <w:lang w:val="ru-RU" w:eastAsia="ru-RU"/>
    </w:rPr>
  </w:style>
  <w:style w:type="paragraph" w:customStyle="1" w:styleId="Default">
    <w:name w:val="Default"/>
    <w:rsid w:val="00076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76E16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Ольга Селезнева</cp:lastModifiedBy>
  <cp:revision>23</cp:revision>
  <dcterms:created xsi:type="dcterms:W3CDTF">2022-09-24T12:31:00Z</dcterms:created>
  <dcterms:modified xsi:type="dcterms:W3CDTF">2023-01-23T19:04:00Z</dcterms:modified>
</cp:coreProperties>
</file>